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C2349" w14:textId="773338D9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C3184D">
        <w:rPr>
          <w:rFonts w:cs="Arial"/>
          <w:b/>
          <w:sz w:val="24"/>
          <w:szCs w:val="24"/>
        </w:rPr>
        <w:t>108</w:t>
      </w:r>
      <w:r>
        <w:rPr>
          <w:rFonts w:cs="Arial"/>
          <w:b/>
          <w:sz w:val="24"/>
          <w:szCs w:val="24"/>
        </w:rPr>
        <w:tab/>
      </w:r>
      <w:r w:rsidR="00D07AD5" w:rsidRPr="00D07AD5">
        <w:rPr>
          <w:rFonts w:cs="Arial"/>
          <w:b/>
          <w:sz w:val="24"/>
          <w:szCs w:val="24"/>
        </w:rPr>
        <w:t>R4-</w:t>
      </w:r>
      <w:r w:rsidR="0042140F">
        <w:rPr>
          <w:rFonts w:cs="Arial"/>
          <w:b/>
          <w:sz w:val="24"/>
          <w:szCs w:val="24"/>
        </w:rPr>
        <w:t>2313634</w:t>
      </w:r>
    </w:p>
    <w:p w14:paraId="1A028A34" w14:textId="62AF5381" w:rsidR="00820BC5" w:rsidRPr="0087636F" w:rsidRDefault="00C3184D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Toulouse</w:t>
      </w:r>
      <w:r w:rsidR="00820BC5" w:rsidRPr="00690ADD">
        <w:rPr>
          <w:rFonts w:cs="Arial"/>
          <w:b/>
          <w:sz w:val="24"/>
          <w:szCs w:val="24"/>
        </w:rPr>
        <w:t>,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France</w:t>
      </w:r>
      <w:r w:rsidR="0042140F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21</w:t>
      </w:r>
      <w:r>
        <w:rPr>
          <w:rFonts w:cs="Arial"/>
          <w:b/>
          <w:sz w:val="24"/>
          <w:szCs w:val="24"/>
          <w:vertAlign w:val="superscript"/>
        </w:rPr>
        <w:t>st</w:t>
      </w:r>
      <w:r w:rsidR="00820BC5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25</w:t>
      </w:r>
      <w:r w:rsidR="00F1354A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="00820BC5"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23</w:t>
      </w:r>
    </w:p>
    <w:p w14:paraId="6E7CA8E8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3F68B914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2F910437" w14:textId="4D41CD4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C3184D">
        <w:rPr>
          <w:sz w:val="22"/>
        </w:rPr>
        <w:t>FWA PC1 n41 NS_04 A-MPR considerations</w:t>
      </w:r>
    </w:p>
    <w:bookmarkEnd w:id="1"/>
    <w:p w14:paraId="695B848D" w14:textId="3DC96882" w:rsidR="0043450E" w:rsidRPr="0001487E" w:rsidRDefault="0043450E" w:rsidP="00D0253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877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17F2A" w:rsidRPr="003C5B37">
        <w:rPr>
          <w:bCs/>
          <w:sz w:val="22"/>
        </w:rPr>
        <w:t>7.16.2</w:t>
      </w:r>
    </w:p>
    <w:p w14:paraId="76F8F581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43457">
        <w:rPr>
          <w:sz w:val="22"/>
        </w:rPr>
        <w:t>Discussion</w:t>
      </w:r>
    </w:p>
    <w:p w14:paraId="47EF3F5D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405EA309" w14:textId="325042D6" w:rsidR="00DF2E6B" w:rsidRDefault="00C3184D" w:rsidP="000B5E8E">
      <w:r>
        <w:t xml:space="preserve">In recent RAN4 meetings, we have shown and summarized results from our A-MPR simulations for FWA PC1 in n41 (NS_04). In this contribution, we show that the way the A-MPR was specified for </w:t>
      </w:r>
      <w:r w:rsidR="00C7136F">
        <w:t xml:space="preserve">n41 in </w:t>
      </w:r>
      <w:r>
        <w:t xml:space="preserve">PC3 leaves room </w:t>
      </w:r>
      <w:r w:rsidR="008D750D">
        <w:t xml:space="preserve">for </w:t>
      </w:r>
      <w:r w:rsidR="00444F64">
        <w:t xml:space="preserve">significant </w:t>
      </w:r>
      <w:r w:rsidR="008D750D">
        <w:t>improvement. Our solution will follow in the next RAN4 meeting.</w:t>
      </w:r>
    </w:p>
    <w:p w14:paraId="09A1585B" w14:textId="77777777" w:rsidR="000A6A9A" w:rsidRDefault="000A6A9A" w:rsidP="000A6A9A">
      <w:pPr>
        <w:pStyle w:val="Heading1"/>
      </w:pPr>
      <w:r>
        <w:t>2</w:t>
      </w:r>
      <w:r>
        <w:tab/>
        <w:t>Discussion</w:t>
      </w:r>
    </w:p>
    <w:p w14:paraId="1E773C1E" w14:textId="12A669E0" w:rsidR="009829EA" w:rsidRDefault="00C7136F" w:rsidP="009829EA">
      <w:r>
        <w:t xml:space="preserve">For PC3, n41 A-MPR was </w:t>
      </w:r>
      <w:r w:rsidR="00E77C41">
        <w:t xml:space="preserve">specified </w:t>
      </w:r>
      <w:r>
        <w:t>using formulas that conveniently took care of dependencies on channel bandwidth.</w:t>
      </w:r>
      <w:r w:rsidR="00F12FAC">
        <w:t xml:space="preserve"> In this contribution, we study the goodness of the same approach in the context of FWA PC1 A-MPR. W</w:t>
      </w:r>
      <w:r w:rsidR="00D02539">
        <w:t>e</w:t>
      </w:r>
      <w:r w:rsidR="009829EA">
        <w:t xml:space="preserve"> concentrate on resource block allocations limited by spectral regrowth since they </w:t>
      </w:r>
      <w:r w:rsidR="00FB61BC">
        <w:t xml:space="preserve">include the largest RB allocations and </w:t>
      </w:r>
      <w:r w:rsidR="009829EA">
        <w:t xml:space="preserve">comprise </w:t>
      </w:r>
      <w:proofErr w:type="gramStart"/>
      <w:r w:rsidR="009829EA">
        <w:t>the majority of</w:t>
      </w:r>
      <w:proofErr w:type="gramEnd"/>
      <w:r w:rsidR="009829EA">
        <w:t xml:space="preserve"> </w:t>
      </w:r>
      <w:r w:rsidR="00950794">
        <w:t xml:space="preserve">all </w:t>
      </w:r>
      <w:r w:rsidR="009829EA">
        <w:t>RB allocations</w:t>
      </w:r>
      <w:r w:rsidR="0050195E">
        <w:t xml:space="preserve"> that require A-MPR</w:t>
      </w:r>
      <w:r w:rsidR="009829EA">
        <w:t>.</w:t>
      </w:r>
    </w:p>
    <w:p w14:paraId="13E678A8" w14:textId="354EDCA2" w:rsidR="00774664" w:rsidRDefault="00774664" w:rsidP="009829EA">
      <w:r>
        <w:t>The maximum A-MPR needed by PC1 in n41 is shown in Table 1 for each combination of waveform and modulation [2].</w:t>
      </w:r>
    </w:p>
    <w:p w14:paraId="596DC134" w14:textId="77777777" w:rsidR="003A0344" w:rsidRPr="00C25420" w:rsidRDefault="003A0344" w:rsidP="003A0344">
      <w:pPr>
        <w:pStyle w:val="TH"/>
        <w:rPr>
          <w:b w:val="0"/>
        </w:rPr>
      </w:pPr>
      <w:r w:rsidRPr="00C25420">
        <w:rPr>
          <w:b w:val="0"/>
        </w:rPr>
        <w:t xml:space="preserve">Table 1: </w:t>
      </w:r>
      <w:r>
        <w:rPr>
          <w:b w:val="0"/>
        </w:rPr>
        <w:t xml:space="preserve">Maximum </w:t>
      </w:r>
      <w:r w:rsidRPr="00C25420">
        <w:rPr>
          <w:b w:val="0"/>
        </w:rPr>
        <w:t>A-MPR values for PC1</w:t>
      </w:r>
    </w:p>
    <w:tbl>
      <w:tblPr>
        <w:tblW w:w="664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1"/>
        <w:gridCol w:w="1559"/>
        <w:gridCol w:w="1039"/>
        <w:gridCol w:w="1040"/>
        <w:gridCol w:w="1039"/>
        <w:gridCol w:w="1040"/>
      </w:tblGrid>
      <w:tr w:rsidR="003A0344" w:rsidRPr="00D05D79" w14:paraId="445D662D" w14:textId="77777777" w:rsidTr="0073380B">
        <w:trPr>
          <w:trHeight w:val="187"/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9D5F5" w14:textId="77777777" w:rsidR="003A0344" w:rsidRPr="00D05D79" w:rsidRDefault="003A0344" w:rsidP="0073380B">
            <w:pPr>
              <w:pStyle w:val="TAH"/>
              <w:rPr>
                <w:bCs/>
              </w:rPr>
            </w:pPr>
            <w:r w:rsidRPr="00D05D79">
              <w:rPr>
                <w:bCs/>
              </w:rPr>
              <w:t>Modulation/Waveform</w:t>
            </w:r>
          </w:p>
        </w:tc>
        <w:tc>
          <w:tcPr>
            <w:tcW w:w="4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11B0" w14:textId="77777777" w:rsidR="003A0344" w:rsidRPr="00D05D79" w:rsidRDefault="003A0344" w:rsidP="0073380B">
            <w:pPr>
              <w:pStyle w:val="TAH"/>
              <w:rPr>
                <w:bCs/>
              </w:rPr>
            </w:pPr>
            <w:r w:rsidRPr="00D05D79">
              <w:rPr>
                <w:bCs/>
              </w:rPr>
              <w:t>A-MPR (dB)</w:t>
            </w:r>
          </w:p>
        </w:tc>
      </w:tr>
      <w:tr w:rsidR="003A0344" w:rsidRPr="00D05D79" w14:paraId="5D30C071" w14:textId="77777777" w:rsidTr="0073380B">
        <w:trPr>
          <w:trHeight w:val="187"/>
          <w:jc w:val="center"/>
        </w:trPr>
        <w:tc>
          <w:tcPr>
            <w:tcW w:w="2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5B300" w14:textId="77777777" w:rsidR="003A0344" w:rsidRPr="00D05D79" w:rsidRDefault="003A0344" w:rsidP="0073380B">
            <w:pPr>
              <w:pStyle w:val="TAH"/>
              <w:rPr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DAFF" w14:textId="77777777" w:rsidR="003A0344" w:rsidRPr="00D05D79" w:rsidRDefault="003A0344" w:rsidP="0073380B">
            <w:pPr>
              <w:pStyle w:val="TAH"/>
              <w:rPr>
                <w:bCs/>
              </w:rPr>
            </w:pPr>
            <w:r>
              <w:rPr>
                <w:bCs/>
              </w:rPr>
              <w:t>Edge region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E33DE" w14:textId="77777777" w:rsidR="003A0344" w:rsidRPr="00D05D79" w:rsidRDefault="003A0344" w:rsidP="0073380B">
            <w:pPr>
              <w:pStyle w:val="TAH"/>
              <w:rPr>
                <w:bCs/>
              </w:rPr>
            </w:pPr>
            <w:r>
              <w:rPr>
                <w:bCs/>
              </w:rPr>
              <w:t>IMD3 region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88D36" w14:textId="77777777" w:rsidR="003A0344" w:rsidRPr="00D05D79" w:rsidRDefault="003A0344" w:rsidP="0073380B">
            <w:pPr>
              <w:pStyle w:val="TAH"/>
              <w:rPr>
                <w:bCs/>
              </w:rPr>
            </w:pPr>
            <w:r>
              <w:rPr>
                <w:bCs/>
              </w:rPr>
              <w:t>CIM3 region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E5E27FB" w14:textId="77777777" w:rsidR="003A0344" w:rsidRPr="00D05D79" w:rsidRDefault="003A0344" w:rsidP="0073380B">
            <w:pPr>
              <w:pStyle w:val="TAH"/>
              <w:rPr>
                <w:bCs/>
              </w:rPr>
            </w:pPr>
            <w:r>
              <w:rPr>
                <w:bCs/>
              </w:rPr>
              <w:t>Regrowth region</w:t>
            </w:r>
          </w:p>
        </w:tc>
      </w:tr>
      <w:tr w:rsidR="003A0344" w:rsidRPr="00D05D79" w14:paraId="04C990AF" w14:textId="77777777" w:rsidTr="0073380B">
        <w:trPr>
          <w:trHeight w:val="187"/>
          <w:jc w:val="center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39D59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82132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Pi/2-BPSK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E480B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E8F69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07893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lang w:val="en-US"/>
              </w:rPr>
              <w:t>N/A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13E798A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3.5</w:t>
            </w:r>
          </w:p>
        </w:tc>
      </w:tr>
      <w:tr w:rsidR="003A0344" w:rsidRPr="00D05D79" w14:paraId="5CCC6BEA" w14:textId="77777777" w:rsidTr="0073380B">
        <w:trPr>
          <w:trHeight w:val="187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02C44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F0A5D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D6D93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1676F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9EEA8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lang w:val="en-US"/>
              </w:rPr>
              <w:t>N/A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857AFF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4.0</w:t>
            </w:r>
          </w:p>
        </w:tc>
      </w:tr>
      <w:tr w:rsidR="003A0344" w:rsidRPr="00D05D79" w14:paraId="41CF03BA" w14:textId="77777777" w:rsidTr="0073380B">
        <w:trPr>
          <w:trHeight w:val="187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4E3B3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00EE3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7F188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9CACB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2.5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5A629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2.0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164599F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4.0</w:t>
            </w:r>
          </w:p>
        </w:tc>
      </w:tr>
      <w:tr w:rsidR="003A0344" w:rsidRPr="00D05D79" w14:paraId="7EA40BE2" w14:textId="77777777" w:rsidTr="0073380B">
        <w:trPr>
          <w:trHeight w:val="187"/>
          <w:jc w:val="center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EBDAD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F7E26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74BA6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E02F6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4612B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3.0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360AB9B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4.0</w:t>
            </w:r>
          </w:p>
        </w:tc>
      </w:tr>
      <w:tr w:rsidR="003A0344" w:rsidRPr="00D05D79" w14:paraId="05888301" w14:textId="77777777" w:rsidTr="0073380B">
        <w:trPr>
          <w:trHeight w:val="187"/>
          <w:jc w:val="center"/>
        </w:trPr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8CE3E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D0527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B80E9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0D3904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N/A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14E81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N/A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03D94F6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lang w:val="en-US"/>
              </w:rPr>
              <w:t>N/A</w:t>
            </w:r>
          </w:p>
        </w:tc>
      </w:tr>
      <w:tr w:rsidR="003A0344" w:rsidRPr="00D05D79" w14:paraId="7D1AA3E8" w14:textId="77777777" w:rsidTr="0073380B">
        <w:trPr>
          <w:trHeight w:val="187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6648D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CP-OFDM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C4EFD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F0A9D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7068C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2.5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2F6B5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10.5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19F7365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6.0</w:t>
            </w:r>
          </w:p>
        </w:tc>
      </w:tr>
      <w:tr w:rsidR="003A0344" w:rsidRPr="00D05D79" w14:paraId="2426506A" w14:textId="77777777" w:rsidTr="0073380B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F00A8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8ECCC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117B1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6BA05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B07B0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10.5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232DBC7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6.0</w:t>
            </w:r>
          </w:p>
        </w:tc>
      </w:tr>
      <w:tr w:rsidR="003A0344" w:rsidRPr="00D05D79" w14:paraId="6E0CCA3F" w14:textId="77777777" w:rsidTr="0073380B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7B45E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F6D64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456E4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64033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N/A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9900F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10.5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E487DBE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6.0</w:t>
            </w:r>
          </w:p>
        </w:tc>
      </w:tr>
      <w:tr w:rsidR="003A0344" w:rsidRPr="00D05D79" w14:paraId="38525534" w14:textId="77777777" w:rsidTr="0073380B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7C633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B8158" w14:textId="77777777" w:rsidR="003A0344" w:rsidRPr="00D05D79" w:rsidRDefault="003A0344" w:rsidP="0073380B">
            <w:pPr>
              <w:pStyle w:val="TAC"/>
              <w:rPr>
                <w:b/>
                <w:bCs/>
                <w:lang w:val="en-US"/>
              </w:rPr>
            </w:pPr>
            <w:r w:rsidRPr="00D05D79">
              <w:rPr>
                <w:b/>
                <w:bCs/>
                <w:lang w:val="en-US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DFFB0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A6B9F0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N/A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7EC1A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rFonts w:cs="Arial"/>
                <w:lang w:val="en-US"/>
              </w:rPr>
              <w:t>≤</w:t>
            </w:r>
            <w:r w:rsidRPr="00AF6404">
              <w:rPr>
                <w:lang w:val="en-US"/>
              </w:rPr>
              <w:t xml:space="preserve"> 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6978F7" w14:textId="77777777" w:rsidR="003A0344" w:rsidRPr="00AF6404" w:rsidRDefault="003A0344" w:rsidP="0073380B">
            <w:pPr>
              <w:pStyle w:val="TAC"/>
              <w:rPr>
                <w:lang w:val="en-US"/>
              </w:rPr>
            </w:pPr>
            <w:r w:rsidRPr="00AF6404">
              <w:rPr>
                <w:lang w:val="en-US"/>
              </w:rPr>
              <w:t>N/A</w:t>
            </w:r>
          </w:p>
        </w:tc>
      </w:tr>
    </w:tbl>
    <w:p w14:paraId="0A323FDC" w14:textId="77777777" w:rsidR="003A0344" w:rsidRDefault="003A0344" w:rsidP="009829EA"/>
    <w:p w14:paraId="3A38EF3F" w14:textId="6A7AF5BD" w:rsidR="009829EA" w:rsidRDefault="009829EA" w:rsidP="009829EA">
      <w:r>
        <w:t xml:space="preserve">The goodness of an A-MPR specification can be studied </w:t>
      </w:r>
      <w:r w:rsidR="00373E81">
        <w:t xml:space="preserve">through </w:t>
      </w:r>
      <w:r w:rsidRPr="009829EA">
        <w:rPr>
          <w:i/>
          <w:iCs/>
        </w:rPr>
        <w:t>excess back-off</w:t>
      </w:r>
      <w:r>
        <w:t xml:space="preserve">, i.e., the difference of granted A-MPR and </w:t>
      </w:r>
      <w:r w:rsidR="00FE40CB">
        <w:t xml:space="preserve">back-off </w:t>
      </w:r>
      <w:r>
        <w:t xml:space="preserve">required according to simulation results. A-MPR is always a trade-off between </w:t>
      </w:r>
      <w:r w:rsidR="003C6842" w:rsidRPr="009829EA">
        <w:t>excess back-off</w:t>
      </w:r>
      <w:r w:rsidR="003C6842">
        <w:t xml:space="preserve">  and </w:t>
      </w:r>
      <w:r w:rsidR="00CF41EA">
        <w:t xml:space="preserve">the </w:t>
      </w:r>
      <w:r>
        <w:t>complexity of the specification</w:t>
      </w:r>
      <w:r w:rsidRPr="009829EA">
        <w:t>.</w:t>
      </w:r>
      <w:r>
        <w:t xml:space="preserve"> A simple A-MPR definition is easy to create, understand</w:t>
      </w:r>
      <w:r w:rsidR="00A26BCB">
        <w:t>, and implement</w:t>
      </w:r>
      <w:r>
        <w:t xml:space="preserve">, but </w:t>
      </w:r>
      <w:r w:rsidR="005063A5">
        <w:t xml:space="preserve">it </w:t>
      </w:r>
      <w:r>
        <w:t xml:space="preserve">results in excess back-off </w:t>
      </w:r>
      <w:r w:rsidR="00037EA8">
        <w:t xml:space="preserve">for some TX configurations </w:t>
      </w:r>
      <w:r>
        <w:t xml:space="preserve">and thus coverage/throughput loss if the UE fully uses the granted A-MPR. </w:t>
      </w:r>
    </w:p>
    <w:p w14:paraId="3908E880" w14:textId="37558BAC" w:rsidR="009829EA" w:rsidRDefault="003C7E69" w:rsidP="009829EA">
      <w:r>
        <w:t xml:space="preserve">A simple way to study </w:t>
      </w:r>
      <w:r w:rsidRPr="009829EA">
        <w:t>excess back-off</w:t>
      </w:r>
      <w:r>
        <w:t xml:space="preserve">  is to view its histogram</w:t>
      </w:r>
      <w:r w:rsidR="006E260D">
        <w:t xml:space="preserve"> across channel bandwidths, RB allocations, etc</w:t>
      </w:r>
      <w:r>
        <w:t>.</w:t>
      </w:r>
      <w:r w:rsidR="000223F2">
        <w:t xml:space="preserve"> </w:t>
      </w:r>
      <w:r>
        <w:t xml:space="preserve">To define a tentative A-MPR definition for PC1 NS_04, we followed the method used in TS 38.101-1, subclause </w:t>
      </w:r>
      <w:r w:rsidR="00060F37">
        <w:t>6.2.3.2</w:t>
      </w:r>
      <w:r w:rsidR="00280F5D">
        <w:t>,</w:t>
      </w:r>
      <w:r w:rsidR="00060F37">
        <w:t xml:space="preserve"> </w:t>
      </w:r>
      <w:r w:rsidR="00730EBC">
        <w:t xml:space="preserve">which defines the n41 A-MPR </w:t>
      </w:r>
      <w:r>
        <w:t>for PC3.</w:t>
      </w:r>
      <w:r w:rsidR="007A42AE">
        <w:t xml:space="preserve"> </w:t>
      </w:r>
      <w:r>
        <w:t xml:space="preserve">Figure </w:t>
      </w:r>
      <w:r w:rsidR="002F561D">
        <w:t>1</w:t>
      </w:r>
      <w:r>
        <w:t xml:space="preserve"> shows </w:t>
      </w:r>
      <w:r w:rsidR="009829EA">
        <w:t>histogram</w:t>
      </w:r>
      <w:r w:rsidR="00E40D96">
        <w:t>s</w:t>
      </w:r>
      <w:r w:rsidR="009829EA">
        <w:t xml:space="preserve"> </w:t>
      </w:r>
      <w:r w:rsidR="00E40D96">
        <w:t xml:space="preserve">of excess back-off </w:t>
      </w:r>
      <w:r w:rsidR="00C80335">
        <w:t xml:space="preserve">for </w:t>
      </w:r>
      <w:r w:rsidR="00E40D96">
        <w:t xml:space="preserve">RB allocations limited by spectral regrowth. The OFDM and DFT-S-OFDM waveforms are separated, but each histogram includes all modulations, SCSs and channel bandwidths as well as multiple values of the </w:t>
      </w:r>
      <w:r w:rsidR="00E40D96" w:rsidRPr="00E40D96">
        <w:rPr>
          <w:i/>
          <w:iCs/>
        </w:rPr>
        <w:t>frequency offset</w:t>
      </w:r>
      <w:r w:rsidR="00E40D96">
        <w:t xml:space="preserve"> at steps of </w:t>
      </w:r>
      <w:r w:rsidR="00692988">
        <w:t>1</w:t>
      </w:r>
      <w:r w:rsidR="00E40D96">
        <w:t xml:space="preserve">0 </w:t>
      </w:r>
      <w:proofErr w:type="spellStart"/>
      <w:r w:rsidR="00E40D96">
        <w:t>MHz</w:t>
      </w:r>
      <w:r w:rsidR="003D0BFF">
        <w:t>.</w:t>
      </w:r>
      <w:proofErr w:type="spellEnd"/>
      <w:r w:rsidR="00E40D96">
        <w:t xml:space="preserve"> </w:t>
      </w:r>
      <w:r w:rsidR="00E37455">
        <w:t>Here</w:t>
      </w:r>
      <w:r w:rsidR="00FF0FDC">
        <w:t>, f</w:t>
      </w:r>
      <w:r w:rsidR="00FF0FDC" w:rsidRPr="00E40D96">
        <w:t xml:space="preserve">requency </w:t>
      </w:r>
      <w:r w:rsidR="00E40D96" w:rsidRPr="00E40D96">
        <w:t>offset</w:t>
      </w:r>
      <w:r w:rsidR="00E40D96">
        <w:t xml:space="preserve"> is the distance of the channel from the lower edge of the operating band. Thus, a 0 Hz frequency offset means that the channel is at the lower edge of the operating band. This is where the needed back-off is at its maximum. </w:t>
      </w:r>
      <w:r w:rsidR="0073445B">
        <w:t>A</w:t>
      </w:r>
      <w:r w:rsidR="00E40D96">
        <w:t>t the upper edge of n41, a lower back-off suffices, and there might be no need for A-MPR.</w:t>
      </w:r>
    </w:p>
    <w:p w14:paraId="12452B5E" w14:textId="06A64AF8" w:rsidR="008F6DA8" w:rsidRDefault="008F6DA8" w:rsidP="009829EA">
      <w:r>
        <w:t>To improve the readability of the lower bars, the vertical scale of Figure 1 is split into two parts.</w:t>
      </w:r>
    </w:p>
    <w:p w14:paraId="7C7D736C" w14:textId="4A4EDE65" w:rsidR="00360BDC" w:rsidRDefault="00360BDC" w:rsidP="009829EA"/>
    <w:p w14:paraId="59137A43" w14:textId="39C02C11" w:rsidR="00E40D96" w:rsidRDefault="005B3571" w:rsidP="005B3571">
      <w:pPr>
        <w:keepNext/>
        <w:keepLines/>
        <w:jc w:val="center"/>
      </w:pPr>
      <w:r>
        <w:lastRenderedPageBreak/>
        <w:t>(a)</w:t>
      </w:r>
      <w:r w:rsidR="0000085D" w:rsidRPr="0000085D">
        <w:rPr>
          <w:noProof/>
        </w:rPr>
        <w:drawing>
          <wp:inline distT="0" distB="0" distL="0" distR="0" wp14:anchorId="3EE93B6E" wp14:editId="1C675FC5">
            <wp:extent cx="2876400" cy="2156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400" cy="21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(b)</w:t>
      </w:r>
      <w:r w:rsidR="0000085D" w:rsidRPr="0000085D">
        <w:rPr>
          <w:noProof/>
        </w:rPr>
        <w:drawing>
          <wp:inline distT="0" distB="0" distL="0" distR="0" wp14:anchorId="5F881241" wp14:editId="44D1C901">
            <wp:extent cx="2876400" cy="21564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400" cy="21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47CD9" w14:textId="6BB2121D" w:rsidR="00E40D96" w:rsidRDefault="00E40D96" w:rsidP="00E40D96">
      <w:pPr>
        <w:jc w:val="center"/>
      </w:pPr>
      <w:r>
        <w:t>Figure 1: Histogram</w:t>
      </w:r>
      <w:r w:rsidR="00935EBB">
        <w:t>s</w:t>
      </w:r>
      <w:r>
        <w:t xml:space="preserve"> of excess back-off </w:t>
      </w:r>
      <w:r w:rsidR="004173D1">
        <w:t>for</w:t>
      </w:r>
      <w:r>
        <w:t xml:space="preserve"> RB allocations limited by spectral regrowth</w:t>
      </w:r>
      <w:r>
        <w:br/>
        <w:t>(all modulations / SCSs / channel bandwidths)</w:t>
      </w:r>
      <w:r w:rsidR="006F32FF">
        <w:t>:</w:t>
      </w:r>
      <w:r w:rsidR="005B3571">
        <w:t xml:space="preserve"> (a) OFDM, (b) DFT-S-OFDM</w:t>
      </w:r>
    </w:p>
    <w:p w14:paraId="28D67A49" w14:textId="67DC20F8" w:rsidR="00C20F54" w:rsidRDefault="00DB0257" w:rsidP="00C20F54">
      <w:r w:rsidRPr="00F56086">
        <w:t xml:space="preserve">As we see in Figure 1, there is a large </w:t>
      </w:r>
      <w:r w:rsidR="00331CBF" w:rsidRPr="00F56086">
        <w:t>proportion</w:t>
      </w:r>
      <w:r w:rsidRPr="00F56086">
        <w:t xml:space="preserve"> of TX configurations (modulation</w:t>
      </w:r>
      <w:r w:rsidR="00A62BEA" w:rsidRPr="00F56086">
        <w:t>s</w:t>
      </w:r>
      <w:r w:rsidRPr="00F56086">
        <w:t>, RB allocation</w:t>
      </w:r>
      <w:r w:rsidR="00A62BEA" w:rsidRPr="00F56086">
        <w:t>s</w:t>
      </w:r>
      <w:r w:rsidRPr="00F56086">
        <w:t>) that could do w</w:t>
      </w:r>
      <w:r w:rsidR="00836AE8" w:rsidRPr="00F56086">
        <w:t>ith</w:t>
      </w:r>
      <w:r w:rsidRPr="00F56086">
        <w:t xml:space="preserve"> a significantly lower A-MPR value </w:t>
      </w:r>
      <w:r>
        <w:t xml:space="preserve">than </w:t>
      </w:r>
      <w:r w:rsidR="006E5C21">
        <w:t xml:space="preserve">given by </w:t>
      </w:r>
      <w:r>
        <w:t xml:space="preserve">our tentative definition based on the approach </w:t>
      </w:r>
      <w:r w:rsidR="00742F0A">
        <w:t>from</w:t>
      </w:r>
      <w:r>
        <w:t xml:space="preserve"> PC3.</w:t>
      </w:r>
      <w:r w:rsidR="00D17EB1">
        <w:t xml:space="preserve"> Therefore, we are formulating a way to specify A-MPR with less excess back-off</w:t>
      </w:r>
      <w:r w:rsidR="004603B1">
        <w:t xml:space="preserve">. We </w:t>
      </w:r>
      <w:r w:rsidR="00911FE5">
        <w:t xml:space="preserve">will present </w:t>
      </w:r>
      <w:r w:rsidR="004603B1">
        <w:t xml:space="preserve">our A-MPR </w:t>
      </w:r>
      <w:r w:rsidR="00911FE5">
        <w:t>proposal in the next RAN4 meeting.</w:t>
      </w:r>
    </w:p>
    <w:p w14:paraId="3B9ADE10" w14:textId="50137707" w:rsidR="0073496C" w:rsidRDefault="00BB3854" w:rsidP="0073496C">
      <w:pPr>
        <w:pStyle w:val="Heading1"/>
      </w:pPr>
      <w:r>
        <w:t>3</w:t>
      </w:r>
      <w:r w:rsidR="0073496C">
        <w:tab/>
        <w:t>Conclusion</w:t>
      </w:r>
      <w:r w:rsidR="00F1354A">
        <w:t>s</w:t>
      </w:r>
    </w:p>
    <w:p w14:paraId="3F45D34B" w14:textId="02E9C1FC" w:rsidR="00C8539D" w:rsidRDefault="00A61CE7" w:rsidP="00C8539D">
      <w:r>
        <w:t xml:space="preserve">By studying the histogram of excess back-off, we showed that </w:t>
      </w:r>
      <w:r w:rsidR="00477D19">
        <w:t xml:space="preserve">reusing </w:t>
      </w:r>
      <w:r>
        <w:t xml:space="preserve">the </w:t>
      </w:r>
      <w:r w:rsidR="00E35028">
        <w:t xml:space="preserve">PC3 </w:t>
      </w:r>
      <w:r w:rsidR="00477D19">
        <w:t xml:space="preserve">method </w:t>
      </w:r>
      <w:r w:rsidR="00F17031">
        <w:t>of</w:t>
      </w:r>
      <w:r>
        <w:t xml:space="preserve"> specif</w:t>
      </w:r>
      <w:r w:rsidR="00F17031">
        <w:t>ying</w:t>
      </w:r>
      <w:r>
        <w:t xml:space="preserve"> n41 NS_04 A-MPR for PC1 </w:t>
      </w:r>
      <w:r w:rsidR="00A77CEA">
        <w:t>w</w:t>
      </w:r>
      <w:r>
        <w:t xml:space="preserve">ould </w:t>
      </w:r>
      <w:r w:rsidR="00A77CEA">
        <w:t xml:space="preserve">leave plenty of room for </w:t>
      </w:r>
      <w:r>
        <w:t>improv</w:t>
      </w:r>
      <w:r w:rsidR="00A77CEA">
        <w:t>ement</w:t>
      </w:r>
      <w:r>
        <w:t>. We</w:t>
      </w:r>
      <w:r w:rsidR="00392E22">
        <w:t xml:space="preserve"> are formulating </w:t>
      </w:r>
      <w:r>
        <w:t>a</w:t>
      </w:r>
      <w:r w:rsidR="009F0DB5">
        <w:t xml:space="preserve"> better </w:t>
      </w:r>
      <w:r>
        <w:t xml:space="preserve">way to specify </w:t>
      </w:r>
      <w:r w:rsidR="007871E4">
        <w:t xml:space="preserve">n41 </w:t>
      </w:r>
      <w:r>
        <w:t xml:space="preserve">A-MPR for PC1 </w:t>
      </w:r>
      <w:r w:rsidR="00392E22">
        <w:t xml:space="preserve">and will present </w:t>
      </w:r>
      <w:r w:rsidR="00FA2116">
        <w:t xml:space="preserve">our A-MPR proposal </w:t>
      </w:r>
      <w:r>
        <w:t>in the next RAN4 meeting.</w:t>
      </w:r>
    </w:p>
    <w:p w14:paraId="74C7C906" w14:textId="08274A7E" w:rsidR="00020F23" w:rsidRDefault="00BB3854" w:rsidP="00020F23">
      <w:pPr>
        <w:pStyle w:val="Heading1"/>
      </w:pPr>
      <w:r>
        <w:t>4</w:t>
      </w:r>
      <w:r w:rsidR="00020F23">
        <w:tab/>
        <w:t>References</w:t>
      </w:r>
    </w:p>
    <w:p w14:paraId="253643FD" w14:textId="03F63FA3" w:rsidR="00C3184D" w:rsidRDefault="00C3184D" w:rsidP="00F1354A">
      <w:r>
        <w:t xml:space="preserve">[1] </w:t>
      </w:r>
      <w:r w:rsidRPr="00C3184D">
        <w:t>R4-2305678, FWA PC1 n41 NS_04 A-MPR simulation results, Nokia, RAN4#106</w:t>
      </w:r>
      <w:r>
        <w:t>-</w:t>
      </w:r>
      <w:r w:rsidRPr="00C3184D">
        <w:t>bis-</w:t>
      </w:r>
      <w:r>
        <w:t>e</w:t>
      </w:r>
    </w:p>
    <w:p w14:paraId="7A5C2C87" w14:textId="4D39F60C" w:rsidR="00F1354A" w:rsidRPr="00F1354A" w:rsidRDefault="00020F23" w:rsidP="00F1354A">
      <w:r>
        <w:t>[</w:t>
      </w:r>
      <w:r w:rsidR="00C3184D">
        <w:t>2</w:t>
      </w:r>
      <w:r>
        <w:t>]</w:t>
      </w:r>
      <w:r w:rsidRPr="00020F23">
        <w:t xml:space="preserve"> </w:t>
      </w:r>
      <w:r w:rsidR="00C3184D">
        <w:t>R4-2309497</w:t>
      </w:r>
      <w:r>
        <w:t xml:space="preserve">, </w:t>
      </w:r>
      <w:r w:rsidR="00C3184D">
        <w:t>FWA PC1 n41 NS_04 A-MPR simulation summary, Nokia, RAN4#107</w:t>
      </w:r>
    </w:p>
    <w:sectPr w:rsidR="00F1354A" w:rsidRPr="00F1354A" w:rsidSect="00426A90">
      <w:headerReference w:type="even" r:id="rId10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54A11" w14:textId="77777777" w:rsidR="00370E5F" w:rsidRDefault="00370E5F" w:rsidP="002B3503">
      <w:pPr>
        <w:spacing w:after="0"/>
      </w:pPr>
      <w:r>
        <w:separator/>
      </w:r>
    </w:p>
  </w:endnote>
  <w:endnote w:type="continuationSeparator" w:id="0">
    <w:p w14:paraId="39CEA5B1" w14:textId="77777777" w:rsidR="00370E5F" w:rsidRDefault="00370E5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6A374" w14:textId="77777777" w:rsidR="00370E5F" w:rsidRDefault="00370E5F" w:rsidP="002B3503">
      <w:pPr>
        <w:spacing w:after="0"/>
      </w:pPr>
      <w:r>
        <w:separator/>
      </w:r>
    </w:p>
  </w:footnote>
  <w:footnote w:type="continuationSeparator" w:id="0">
    <w:p w14:paraId="63462F29" w14:textId="77777777" w:rsidR="00370E5F" w:rsidRDefault="00370E5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F191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494695">
    <w:abstractNumId w:val="2"/>
  </w:num>
  <w:num w:numId="2" w16cid:durableId="1396245579">
    <w:abstractNumId w:val="6"/>
  </w:num>
  <w:num w:numId="3" w16cid:durableId="1870683834">
    <w:abstractNumId w:val="4"/>
  </w:num>
  <w:num w:numId="4" w16cid:durableId="610475660">
    <w:abstractNumId w:val="5"/>
  </w:num>
  <w:num w:numId="5" w16cid:durableId="105278411">
    <w:abstractNumId w:val="0"/>
  </w:num>
  <w:num w:numId="6" w16cid:durableId="244464190">
    <w:abstractNumId w:val="1"/>
  </w:num>
  <w:num w:numId="7" w16cid:durableId="19547039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84D"/>
    <w:rsid w:val="0000085D"/>
    <w:rsid w:val="000008B4"/>
    <w:rsid w:val="0000645E"/>
    <w:rsid w:val="00017F2A"/>
    <w:rsid w:val="00020F23"/>
    <w:rsid w:val="000223F2"/>
    <w:rsid w:val="000241B0"/>
    <w:rsid w:val="000304E9"/>
    <w:rsid w:val="0003263E"/>
    <w:rsid w:val="000370A5"/>
    <w:rsid w:val="00037DDF"/>
    <w:rsid w:val="00037EA8"/>
    <w:rsid w:val="00046BC1"/>
    <w:rsid w:val="00060F37"/>
    <w:rsid w:val="00067294"/>
    <w:rsid w:val="00075045"/>
    <w:rsid w:val="00084771"/>
    <w:rsid w:val="0008585F"/>
    <w:rsid w:val="00091F0B"/>
    <w:rsid w:val="000A3DFD"/>
    <w:rsid w:val="000A6473"/>
    <w:rsid w:val="000A6A9A"/>
    <w:rsid w:val="000B0C5F"/>
    <w:rsid w:val="000B3B17"/>
    <w:rsid w:val="000B4E56"/>
    <w:rsid w:val="000B5E8E"/>
    <w:rsid w:val="000E4D14"/>
    <w:rsid w:val="000F2546"/>
    <w:rsid w:val="000F50EC"/>
    <w:rsid w:val="00101626"/>
    <w:rsid w:val="00103568"/>
    <w:rsid w:val="00113DD7"/>
    <w:rsid w:val="001221D2"/>
    <w:rsid w:val="001364A1"/>
    <w:rsid w:val="001458FC"/>
    <w:rsid w:val="00147F49"/>
    <w:rsid w:val="0015000E"/>
    <w:rsid w:val="001533A0"/>
    <w:rsid w:val="0015578A"/>
    <w:rsid w:val="001568C3"/>
    <w:rsid w:val="0016131F"/>
    <w:rsid w:val="00172B90"/>
    <w:rsid w:val="001751F1"/>
    <w:rsid w:val="00187AC5"/>
    <w:rsid w:val="00194FE0"/>
    <w:rsid w:val="001953B8"/>
    <w:rsid w:val="001A3DCA"/>
    <w:rsid w:val="001B6495"/>
    <w:rsid w:val="001C473D"/>
    <w:rsid w:val="001D44A7"/>
    <w:rsid w:val="001D64A5"/>
    <w:rsid w:val="001E4F63"/>
    <w:rsid w:val="002127E2"/>
    <w:rsid w:val="00214C87"/>
    <w:rsid w:val="00214CF4"/>
    <w:rsid w:val="00215035"/>
    <w:rsid w:val="00215421"/>
    <w:rsid w:val="00230F65"/>
    <w:rsid w:val="0024072D"/>
    <w:rsid w:val="00241041"/>
    <w:rsid w:val="00241E14"/>
    <w:rsid w:val="002543EA"/>
    <w:rsid w:val="00260340"/>
    <w:rsid w:val="00273303"/>
    <w:rsid w:val="00280F5D"/>
    <w:rsid w:val="00291DDD"/>
    <w:rsid w:val="002A7181"/>
    <w:rsid w:val="002B3503"/>
    <w:rsid w:val="002B520A"/>
    <w:rsid w:val="002C2C9A"/>
    <w:rsid w:val="002C35DE"/>
    <w:rsid w:val="002D2822"/>
    <w:rsid w:val="002D4117"/>
    <w:rsid w:val="002E58E9"/>
    <w:rsid w:val="002F561D"/>
    <w:rsid w:val="002F6A38"/>
    <w:rsid w:val="00304DA8"/>
    <w:rsid w:val="00313159"/>
    <w:rsid w:val="00331CBF"/>
    <w:rsid w:val="00345583"/>
    <w:rsid w:val="00347DEA"/>
    <w:rsid w:val="003579D9"/>
    <w:rsid w:val="00360BDC"/>
    <w:rsid w:val="00370E5F"/>
    <w:rsid w:val="00371041"/>
    <w:rsid w:val="003711E7"/>
    <w:rsid w:val="003732AC"/>
    <w:rsid w:val="00373E81"/>
    <w:rsid w:val="003777FE"/>
    <w:rsid w:val="00384138"/>
    <w:rsid w:val="00392E22"/>
    <w:rsid w:val="003A0344"/>
    <w:rsid w:val="003B17D7"/>
    <w:rsid w:val="003C0252"/>
    <w:rsid w:val="003C2799"/>
    <w:rsid w:val="003C42AC"/>
    <w:rsid w:val="003C5B37"/>
    <w:rsid w:val="003C6403"/>
    <w:rsid w:val="003C6842"/>
    <w:rsid w:val="003C7E69"/>
    <w:rsid w:val="003D0BFF"/>
    <w:rsid w:val="003D441B"/>
    <w:rsid w:val="003D7B9A"/>
    <w:rsid w:val="003E31DF"/>
    <w:rsid w:val="003F7C08"/>
    <w:rsid w:val="00400F07"/>
    <w:rsid w:val="00402DF6"/>
    <w:rsid w:val="00403294"/>
    <w:rsid w:val="0041175D"/>
    <w:rsid w:val="004148DE"/>
    <w:rsid w:val="004173D1"/>
    <w:rsid w:val="00420A37"/>
    <w:rsid w:val="0042109F"/>
    <w:rsid w:val="0042140F"/>
    <w:rsid w:val="00426A90"/>
    <w:rsid w:val="0043450E"/>
    <w:rsid w:val="004369F3"/>
    <w:rsid w:val="00444F64"/>
    <w:rsid w:val="004524FA"/>
    <w:rsid w:val="00453BA5"/>
    <w:rsid w:val="00454E53"/>
    <w:rsid w:val="004603B1"/>
    <w:rsid w:val="004750AB"/>
    <w:rsid w:val="00477D19"/>
    <w:rsid w:val="00482477"/>
    <w:rsid w:val="00482DDD"/>
    <w:rsid w:val="004835D6"/>
    <w:rsid w:val="00491386"/>
    <w:rsid w:val="00494F18"/>
    <w:rsid w:val="00495870"/>
    <w:rsid w:val="004A0078"/>
    <w:rsid w:val="004A41DA"/>
    <w:rsid w:val="004B3736"/>
    <w:rsid w:val="004B7A43"/>
    <w:rsid w:val="004B7E43"/>
    <w:rsid w:val="004C0103"/>
    <w:rsid w:val="004C58F9"/>
    <w:rsid w:val="004D0C67"/>
    <w:rsid w:val="004D3D81"/>
    <w:rsid w:val="004F43E1"/>
    <w:rsid w:val="0050195E"/>
    <w:rsid w:val="005052DF"/>
    <w:rsid w:val="005063A5"/>
    <w:rsid w:val="0052117E"/>
    <w:rsid w:val="00522C8C"/>
    <w:rsid w:val="005309B7"/>
    <w:rsid w:val="00530E0A"/>
    <w:rsid w:val="00555F37"/>
    <w:rsid w:val="00560A63"/>
    <w:rsid w:val="00564B2E"/>
    <w:rsid w:val="00570B14"/>
    <w:rsid w:val="00595636"/>
    <w:rsid w:val="005A35C6"/>
    <w:rsid w:val="005A4A33"/>
    <w:rsid w:val="005A6A8D"/>
    <w:rsid w:val="005A7283"/>
    <w:rsid w:val="005B1D2D"/>
    <w:rsid w:val="005B2640"/>
    <w:rsid w:val="005B3571"/>
    <w:rsid w:val="005F4052"/>
    <w:rsid w:val="005F6CE3"/>
    <w:rsid w:val="006000B0"/>
    <w:rsid w:val="00602EB6"/>
    <w:rsid w:val="006104AF"/>
    <w:rsid w:val="00610C2A"/>
    <w:rsid w:val="00610EF2"/>
    <w:rsid w:val="00631465"/>
    <w:rsid w:val="00641C2E"/>
    <w:rsid w:val="00641E1F"/>
    <w:rsid w:val="00650590"/>
    <w:rsid w:val="00650F90"/>
    <w:rsid w:val="00664DF6"/>
    <w:rsid w:val="006667D8"/>
    <w:rsid w:val="00667F23"/>
    <w:rsid w:val="006919C7"/>
    <w:rsid w:val="00692988"/>
    <w:rsid w:val="006A4903"/>
    <w:rsid w:val="006B58FE"/>
    <w:rsid w:val="006C6840"/>
    <w:rsid w:val="006D12DA"/>
    <w:rsid w:val="006D575C"/>
    <w:rsid w:val="006D77C8"/>
    <w:rsid w:val="006E1AD8"/>
    <w:rsid w:val="006E260D"/>
    <w:rsid w:val="006E5469"/>
    <w:rsid w:val="006E5C21"/>
    <w:rsid w:val="006F1606"/>
    <w:rsid w:val="006F32FF"/>
    <w:rsid w:val="00700831"/>
    <w:rsid w:val="00703672"/>
    <w:rsid w:val="0071361F"/>
    <w:rsid w:val="00721516"/>
    <w:rsid w:val="00726265"/>
    <w:rsid w:val="00730EBC"/>
    <w:rsid w:val="0073445B"/>
    <w:rsid w:val="0073496C"/>
    <w:rsid w:val="00734EBD"/>
    <w:rsid w:val="00742F0A"/>
    <w:rsid w:val="007508B8"/>
    <w:rsid w:val="0077457B"/>
    <w:rsid w:val="00774664"/>
    <w:rsid w:val="00775BF6"/>
    <w:rsid w:val="007871E4"/>
    <w:rsid w:val="00791619"/>
    <w:rsid w:val="0079231B"/>
    <w:rsid w:val="00794808"/>
    <w:rsid w:val="007A42AE"/>
    <w:rsid w:val="007D20DF"/>
    <w:rsid w:val="007F1ACB"/>
    <w:rsid w:val="007F7086"/>
    <w:rsid w:val="00820359"/>
    <w:rsid w:val="00820BC5"/>
    <w:rsid w:val="00822FAB"/>
    <w:rsid w:val="008236E4"/>
    <w:rsid w:val="00836AE8"/>
    <w:rsid w:val="00850296"/>
    <w:rsid w:val="0085459F"/>
    <w:rsid w:val="008A4493"/>
    <w:rsid w:val="008A5DA3"/>
    <w:rsid w:val="008D2853"/>
    <w:rsid w:val="008D750D"/>
    <w:rsid w:val="008F6DA8"/>
    <w:rsid w:val="008F6EEA"/>
    <w:rsid w:val="009009BB"/>
    <w:rsid w:val="00905D49"/>
    <w:rsid w:val="009064A4"/>
    <w:rsid w:val="00911FE5"/>
    <w:rsid w:val="0091383D"/>
    <w:rsid w:val="00914272"/>
    <w:rsid w:val="0091652E"/>
    <w:rsid w:val="00935EBB"/>
    <w:rsid w:val="00940533"/>
    <w:rsid w:val="00940559"/>
    <w:rsid w:val="0094195E"/>
    <w:rsid w:val="00950794"/>
    <w:rsid w:val="00954429"/>
    <w:rsid w:val="009627F3"/>
    <w:rsid w:val="0096646D"/>
    <w:rsid w:val="009829EA"/>
    <w:rsid w:val="009847F4"/>
    <w:rsid w:val="009943D4"/>
    <w:rsid w:val="00994B01"/>
    <w:rsid w:val="00996062"/>
    <w:rsid w:val="009A177E"/>
    <w:rsid w:val="009A4887"/>
    <w:rsid w:val="009B1E68"/>
    <w:rsid w:val="009B29B1"/>
    <w:rsid w:val="009C0E9B"/>
    <w:rsid w:val="009D1984"/>
    <w:rsid w:val="009F0DB5"/>
    <w:rsid w:val="00A033D4"/>
    <w:rsid w:val="00A039A3"/>
    <w:rsid w:val="00A202FE"/>
    <w:rsid w:val="00A226F6"/>
    <w:rsid w:val="00A26BCB"/>
    <w:rsid w:val="00A30DC4"/>
    <w:rsid w:val="00A31791"/>
    <w:rsid w:val="00A451E8"/>
    <w:rsid w:val="00A46001"/>
    <w:rsid w:val="00A6018C"/>
    <w:rsid w:val="00A61CE7"/>
    <w:rsid w:val="00A62BEA"/>
    <w:rsid w:val="00A673E6"/>
    <w:rsid w:val="00A67A94"/>
    <w:rsid w:val="00A71D69"/>
    <w:rsid w:val="00A767DC"/>
    <w:rsid w:val="00A77CEA"/>
    <w:rsid w:val="00A85AE2"/>
    <w:rsid w:val="00A916D4"/>
    <w:rsid w:val="00A91B82"/>
    <w:rsid w:val="00AC344B"/>
    <w:rsid w:val="00AC50AB"/>
    <w:rsid w:val="00AD1832"/>
    <w:rsid w:val="00AE09F6"/>
    <w:rsid w:val="00AE3721"/>
    <w:rsid w:val="00AE62DA"/>
    <w:rsid w:val="00AE6327"/>
    <w:rsid w:val="00AE7737"/>
    <w:rsid w:val="00AF0724"/>
    <w:rsid w:val="00AF7CB0"/>
    <w:rsid w:val="00B0192C"/>
    <w:rsid w:val="00B06189"/>
    <w:rsid w:val="00B20926"/>
    <w:rsid w:val="00B43457"/>
    <w:rsid w:val="00B4385F"/>
    <w:rsid w:val="00B442B7"/>
    <w:rsid w:val="00B47664"/>
    <w:rsid w:val="00B63013"/>
    <w:rsid w:val="00B63135"/>
    <w:rsid w:val="00B65B59"/>
    <w:rsid w:val="00B66628"/>
    <w:rsid w:val="00B813D6"/>
    <w:rsid w:val="00BA6533"/>
    <w:rsid w:val="00BB1927"/>
    <w:rsid w:val="00BB3854"/>
    <w:rsid w:val="00BC764C"/>
    <w:rsid w:val="00BE1016"/>
    <w:rsid w:val="00BE48C7"/>
    <w:rsid w:val="00BE6DF3"/>
    <w:rsid w:val="00BF3DE9"/>
    <w:rsid w:val="00BF4228"/>
    <w:rsid w:val="00BF4B17"/>
    <w:rsid w:val="00BF7A73"/>
    <w:rsid w:val="00C00207"/>
    <w:rsid w:val="00C0238D"/>
    <w:rsid w:val="00C165DA"/>
    <w:rsid w:val="00C20F54"/>
    <w:rsid w:val="00C21554"/>
    <w:rsid w:val="00C25420"/>
    <w:rsid w:val="00C3184D"/>
    <w:rsid w:val="00C33B37"/>
    <w:rsid w:val="00C6032C"/>
    <w:rsid w:val="00C60B7F"/>
    <w:rsid w:val="00C7136F"/>
    <w:rsid w:val="00C80335"/>
    <w:rsid w:val="00C81014"/>
    <w:rsid w:val="00C81190"/>
    <w:rsid w:val="00C8539D"/>
    <w:rsid w:val="00C86FD9"/>
    <w:rsid w:val="00C93BF8"/>
    <w:rsid w:val="00C9571C"/>
    <w:rsid w:val="00CD25F8"/>
    <w:rsid w:val="00CF41EA"/>
    <w:rsid w:val="00CF4412"/>
    <w:rsid w:val="00D02539"/>
    <w:rsid w:val="00D07AD5"/>
    <w:rsid w:val="00D17EB1"/>
    <w:rsid w:val="00D275CC"/>
    <w:rsid w:val="00D31CB7"/>
    <w:rsid w:val="00D47A46"/>
    <w:rsid w:val="00D733F3"/>
    <w:rsid w:val="00D767C4"/>
    <w:rsid w:val="00D77CF5"/>
    <w:rsid w:val="00D87BA7"/>
    <w:rsid w:val="00D9005C"/>
    <w:rsid w:val="00DA22F1"/>
    <w:rsid w:val="00DB0257"/>
    <w:rsid w:val="00DB30B2"/>
    <w:rsid w:val="00DC40E5"/>
    <w:rsid w:val="00DC4CD2"/>
    <w:rsid w:val="00DE343D"/>
    <w:rsid w:val="00DF2E6B"/>
    <w:rsid w:val="00DF4043"/>
    <w:rsid w:val="00DF4078"/>
    <w:rsid w:val="00E075A8"/>
    <w:rsid w:val="00E0780C"/>
    <w:rsid w:val="00E10AC4"/>
    <w:rsid w:val="00E112A9"/>
    <w:rsid w:val="00E23619"/>
    <w:rsid w:val="00E25752"/>
    <w:rsid w:val="00E33B68"/>
    <w:rsid w:val="00E35028"/>
    <w:rsid w:val="00E37455"/>
    <w:rsid w:val="00E40D96"/>
    <w:rsid w:val="00E5539B"/>
    <w:rsid w:val="00E63D44"/>
    <w:rsid w:val="00E77C41"/>
    <w:rsid w:val="00E95351"/>
    <w:rsid w:val="00E962C5"/>
    <w:rsid w:val="00EA0625"/>
    <w:rsid w:val="00EA3488"/>
    <w:rsid w:val="00EB0713"/>
    <w:rsid w:val="00EB2E74"/>
    <w:rsid w:val="00EB5F7D"/>
    <w:rsid w:val="00EC589F"/>
    <w:rsid w:val="00ED3C1F"/>
    <w:rsid w:val="00EE0FE8"/>
    <w:rsid w:val="00EE1412"/>
    <w:rsid w:val="00EF266A"/>
    <w:rsid w:val="00F04AB4"/>
    <w:rsid w:val="00F12F88"/>
    <w:rsid w:val="00F12FAC"/>
    <w:rsid w:val="00F1354A"/>
    <w:rsid w:val="00F17031"/>
    <w:rsid w:val="00F23BEC"/>
    <w:rsid w:val="00F50FDC"/>
    <w:rsid w:val="00F54E9B"/>
    <w:rsid w:val="00F56086"/>
    <w:rsid w:val="00F72C0B"/>
    <w:rsid w:val="00F86ADD"/>
    <w:rsid w:val="00F9486C"/>
    <w:rsid w:val="00F97D64"/>
    <w:rsid w:val="00FA2116"/>
    <w:rsid w:val="00FA42E2"/>
    <w:rsid w:val="00FB61BC"/>
    <w:rsid w:val="00FC288C"/>
    <w:rsid w:val="00FD085A"/>
    <w:rsid w:val="00FD543C"/>
    <w:rsid w:val="00FD7028"/>
    <w:rsid w:val="00FE0B22"/>
    <w:rsid w:val="00FE2703"/>
    <w:rsid w:val="00FE40CB"/>
    <w:rsid w:val="00FF0FDC"/>
    <w:rsid w:val="00FF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7D852"/>
  <w15:chartTrackingRefBased/>
  <w15:docId w15:val="{293DB7A0-D213-49D9-BAE1-46FAE3AB0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C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C4C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C4C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C4C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C4C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C4C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4CD2"/>
    <w:pPr>
      <w:outlineLvl w:val="5"/>
    </w:pPr>
  </w:style>
  <w:style w:type="paragraph" w:styleId="Heading7">
    <w:name w:val="heading 7"/>
    <w:basedOn w:val="H6"/>
    <w:next w:val="Normal"/>
    <w:qFormat/>
    <w:rsid w:val="00DC4CD2"/>
    <w:pPr>
      <w:outlineLvl w:val="6"/>
    </w:pPr>
  </w:style>
  <w:style w:type="paragraph" w:styleId="Heading8">
    <w:name w:val="heading 8"/>
    <w:basedOn w:val="Heading1"/>
    <w:next w:val="Normal"/>
    <w:qFormat/>
    <w:rsid w:val="00DC4C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4CD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4C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4CD2"/>
  </w:style>
  <w:style w:type="paragraph" w:styleId="TOC8">
    <w:name w:val="toc 8"/>
    <w:basedOn w:val="TOC1"/>
    <w:semiHidden/>
    <w:rsid w:val="00DC4CD2"/>
    <w:pPr>
      <w:spacing w:before="180"/>
      <w:ind w:left="2693" w:hanging="2693"/>
    </w:pPr>
    <w:rPr>
      <w:b/>
    </w:rPr>
  </w:style>
  <w:style w:type="paragraph" w:styleId="TOC1">
    <w:name w:val="toc 1"/>
    <w:semiHidden/>
    <w:rsid w:val="00DC4C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C4C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C4CD2"/>
    <w:pPr>
      <w:ind w:left="1701" w:hanging="1701"/>
    </w:pPr>
  </w:style>
  <w:style w:type="paragraph" w:styleId="TOC4">
    <w:name w:val="toc 4"/>
    <w:basedOn w:val="TOC3"/>
    <w:semiHidden/>
    <w:rsid w:val="00DC4CD2"/>
    <w:pPr>
      <w:ind w:left="1418" w:hanging="1418"/>
    </w:pPr>
  </w:style>
  <w:style w:type="paragraph" w:styleId="TOC3">
    <w:name w:val="toc 3"/>
    <w:basedOn w:val="TOC2"/>
    <w:semiHidden/>
    <w:rsid w:val="00DC4CD2"/>
    <w:pPr>
      <w:ind w:left="1134" w:hanging="1134"/>
    </w:pPr>
  </w:style>
  <w:style w:type="paragraph" w:styleId="TOC2">
    <w:name w:val="toc 2"/>
    <w:basedOn w:val="TOC1"/>
    <w:semiHidden/>
    <w:rsid w:val="00DC4C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4CD2"/>
    <w:pPr>
      <w:ind w:left="284"/>
    </w:pPr>
  </w:style>
  <w:style w:type="paragraph" w:styleId="Index1">
    <w:name w:val="index 1"/>
    <w:basedOn w:val="Normal"/>
    <w:semiHidden/>
    <w:rsid w:val="00DC4CD2"/>
    <w:pPr>
      <w:keepLines/>
      <w:spacing w:after="0"/>
    </w:pPr>
  </w:style>
  <w:style w:type="paragraph" w:customStyle="1" w:styleId="ZH">
    <w:name w:val="ZH"/>
    <w:rsid w:val="00DC4C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C4CD2"/>
    <w:pPr>
      <w:outlineLvl w:val="9"/>
    </w:pPr>
  </w:style>
  <w:style w:type="paragraph" w:styleId="ListNumber2">
    <w:name w:val="List Number 2"/>
    <w:basedOn w:val="ListNumber"/>
    <w:semiHidden/>
    <w:rsid w:val="00DC4CD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C4C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C4CD2"/>
    <w:rPr>
      <w:b/>
      <w:position w:val="6"/>
      <w:sz w:val="16"/>
    </w:rPr>
  </w:style>
  <w:style w:type="paragraph" w:styleId="FootnoteText">
    <w:name w:val="footnote text"/>
    <w:basedOn w:val="Normal"/>
    <w:semiHidden/>
    <w:rsid w:val="00DC4C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C4CD2"/>
    <w:rPr>
      <w:b/>
    </w:rPr>
  </w:style>
  <w:style w:type="paragraph" w:customStyle="1" w:styleId="TAC">
    <w:name w:val="TAC"/>
    <w:basedOn w:val="TAL"/>
    <w:link w:val="TACChar"/>
    <w:rsid w:val="00DC4CD2"/>
    <w:pPr>
      <w:jc w:val="center"/>
    </w:pPr>
  </w:style>
  <w:style w:type="paragraph" w:customStyle="1" w:styleId="TF">
    <w:name w:val="TF"/>
    <w:basedOn w:val="TH"/>
    <w:rsid w:val="00DC4CD2"/>
    <w:pPr>
      <w:keepNext w:val="0"/>
      <w:spacing w:before="0" w:after="240"/>
    </w:pPr>
  </w:style>
  <w:style w:type="paragraph" w:customStyle="1" w:styleId="NO">
    <w:name w:val="NO"/>
    <w:basedOn w:val="Normal"/>
    <w:rsid w:val="00DC4CD2"/>
    <w:pPr>
      <w:keepLines/>
      <w:ind w:left="1135" w:hanging="851"/>
    </w:pPr>
  </w:style>
  <w:style w:type="paragraph" w:styleId="TOC9">
    <w:name w:val="toc 9"/>
    <w:basedOn w:val="TOC8"/>
    <w:semiHidden/>
    <w:rsid w:val="00DC4CD2"/>
    <w:pPr>
      <w:ind w:left="1418" w:hanging="1418"/>
    </w:pPr>
  </w:style>
  <w:style w:type="paragraph" w:customStyle="1" w:styleId="EX">
    <w:name w:val="EX"/>
    <w:basedOn w:val="Normal"/>
    <w:rsid w:val="00DC4CD2"/>
    <w:pPr>
      <w:keepLines/>
      <w:ind w:left="1702" w:hanging="1418"/>
    </w:pPr>
  </w:style>
  <w:style w:type="paragraph" w:customStyle="1" w:styleId="FP">
    <w:name w:val="FP"/>
    <w:basedOn w:val="Normal"/>
    <w:rsid w:val="00DC4CD2"/>
    <w:pPr>
      <w:spacing w:after="0"/>
    </w:pPr>
  </w:style>
  <w:style w:type="paragraph" w:customStyle="1" w:styleId="LD">
    <w:name w:val="LD"/>
    <w:rsid w:val="00DC4C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C4CD2"/>
    <w:pPr>
      <w:spacing w:after="0"/>
    </w:pPr>
  </w:style>
  <w:style w:type="paragraph" w:customStyle="1" w:styleId="EW">
    <w:name w:val="EW"/>
    <w:basedOn w:val="EX"/>
    <w:rsid w:val="00DC4CD2"/>
    <w:pPr>
      <w:spacing w:after="0"/>
    </w:pPr>
  </w:style>
  <w:style w:type="paragraph" w:styleId="TOC6">
    <w:name w:val="toc 6"/>
    <w:basedOn w:val="TOC5"/>
    <w:next w:val="Normal"/>
    <w:semiHidden/>
    <w:rsid w:val="00DC4CD2"/>
    <w:pPr>
      <w:ind w:left="1985" w:hanging="1985"/>
    </w:pPr>
  </w:style>
  <w:style w:type="paragraph" w:styleId="TOC7">
    <w:name w:val="toc 7"/>
    <w:basedOn w:val="TOC6"/>
    <w:next w:val="Normal"/>
    <w:semiHidden/>
    <w:rsid w:val="00DC4CD2"/>
    <w:pPr>
      <w:ind w:left="2268" w:hanging="2268"/>
    </w:pPr>
  </w:style>
  <w:style w:type="paragraph" w:styleId="ListBullet2">
    <w:name w:val="List Bullet 2"/>
    <w:basedOn w:val="ListBullet"/>
    <w:semiHidden/>
    <w:rsid w:val="00DC4CD2"/>
    <w:pPr>
      <w:ind w:left="851"/>
    </w:pPr>
  </w:style>
  <w:style w:type="paragraph" w:styleId="ListBullet3">
    <w:name w:val="List Bullet 3"/>
    <w:basedOn w:val="ListBullet2"/>
    <w:semiHidden/>
    <w:rsid w:val="00DC4CD2"/>
    <w:pPr>
      <w:ind w:left="1135"/>
    </w:pPr>
  </w:style>
  <w:style w:type="paragraph" w:styleId="ListNumber">
    <w:name w:val="List Number"/>
    <w:basedOn w:val="List"/>
    <w:semiHidden/>
    <w:rsid w:val="00DC4CD2"/>
  </w:style>
  <w:style w:type="paragraph" w:customStyle="1" w:styleId="EQ">
    <w:name w:val="EQ"/>
    <w:basedOn w:val="Normal"/>
    <w:next w:val="Normal"/>
    <w:rsid w:val="00DC4C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C4C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4C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4C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C4CD2"/>
    <w:pPr>
      <w:jc w:val="right"/>
    </w:pPr>
  </w:style>
  <w:style w:type="paragraph" w:customStyle="1" w:styleId="H6">
    <w:name w:val="H6"/>
    <w:basedOn w:val="Heading5"/>
    <w:next w:val="Normal"/>
    <w:rsid w:val="00DC4C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C4CD2"/>
    <w:pPr>
      <w:ind w:left="851" w:hanging="851"/>
    </w:pPr>
  </w:style>
  <w:style w:type="paragraph" w:customStyle="1" w:styleId="TAL">
    <w:name w:val="TAL"/>
    <w:basedOn w:val="Normal"/>
    <w:rsid w:val="00DC4C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4C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C4C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C4C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C4C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C4CD2"/>
    <w:pPr>
      <w:framePr w:wrap="notBeside" w:y="16161"/>
    </w:pPr>
  </w:style>
  <w:style w:type="character" w:customStyle="1" w:styleId="ZGSM">
    <w:name w:val="ZGSM"/>
    <w:rsid w:val="00DC4CD2"/>
  </w:style>
  <w:style w:type="paragraph" w:styleId="List2">
    <w:name w:val="List 2"/>
    <w:basedOn w:val="List"/>
    <w:semiHidden/>
    <w:rsid w:val="00DC4CD2"/>
    <w:pPr>
      <w:ind w:left="851"/>
    </w:pPr>
  </w:style>
  <w:style w:type="paragraph" w:customStyle="1" w:styleId="ZG">
    <w:name w:val="ZG"/>
    <w:rsid w:val="00DC4C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C4CD2"/>
    <w:pPr>
      <w:ind w:left="1135"/>
    </w:pPr>
  </w:style>
  <w:style w:type="paragraph" w:styleId="List4">
    <w:name w:val="List 4"/>
    <w:basedOn w:val="List3"/>
    <w:semiHidden/>
    <w:rsid w:val="00DC4CD2"/>
    <w:pPr>
      <w:ind w:left="1418"/>
    </w:pPr>
  </w:style>
  <w:style w:type="paragraph" w:styleId="List5">
    <w:name w:val="List 5"/>
    <w:basedOn w:val="List4"/>
    <w:semiHidden/>
    <w:rsid w:val="00DC4CD2"/>
    <w:pPr>
      <w:ind w:left="1702"/>
    </w:pPr>
  </w:style>
  <w:style w:type="paragraph" w:customStyle="1" w:styleId="EditorsNote">
    <w:name w:val="Editor's Note"/>
    <w:basedOn w:val="NO"/>
    <w:rsid w:val="00DC4CD2"/>
    <w:rPr>
      <w:color w:val="FF0000"/>
    </w:rPr>
  </w:style>
  <w:style w:type="paragraph" w:styleId="List">
    <w:name w:val="List"/>
    <w:basedOn w:val="Normal"/>
    <w:semiHidden/>
    <w:rsid w:val="00DC4CD2"/>
    <w:pPr>
      <w:ind w:left="568" w:hanging="284"/>
    </w:pPr>
  </w:style>
  <w:style w:type="paragraph" w:styleId="ListBullet">
    <w:name w:val="List Bullet"/>
    <w:basedOn w:val="List"/>
    <w:semiHidden/>
    <w:rsid w:val="00DC4CD2"/>
  </w:style>
  <w:style w:type="paragraph" w:styleId="ListBullet4">
    <w:name w:val="List Bullet 4"/>
    <w:basedOn w:val="ListBullet3"/>
    <w:semiHidden/>
    <w:rsid w:val="00DC4CD2"/>
    <w:pPr>
      <w:ind w:left="1418"/>
    </w:pPr>
  </w:style>
  <w:style w:type="paragraph" w:styleId="ListBullet5">
    <w:name w:val="List Bullet 5"/>
    <w:basedOn w:val="ListBullet4"/>
    <w:semiHidden/>
    <w:rsid w:val="00DC4CD2"/>
    <w:pPr>
      <w:ind w:left="1702"/>
    </w:pPr>
  </w:style>
  <w:style w:type="paragraph" w:customStyle="1" w:styleId="B1">
    <w:name w:val="B1"/>
    <w:basedOn w:val="List"/>
    <w:rsid w:val="00DC4CD2"/>
  </w:style>
  <w:style w:type="paragraph" w:customStyle="1" w:styleId="B2">
    <w:name w:val="B2"/>
    <w:basedOn w:val="List2"/>
    <w:rsid w:val="00DC4CD2"/>
  </w:style>
  <w:style w:type="paragraph" w:customStyle="1" w:styleId="B3">
    <w:name w:val="B3"/>
    <w:basedOn w:val="List3"/>
    <w:rsid w:val="00DC4CD2"/>
  </w:style>
  <w:style w:type="paragraph" w:customStyle="1" w:styleId="B4">
    <w:name w:val="B4"/>
    <w:basedOn w:val="List4"/>
    <w:rsid w:val="00DC4CD2"/>
  </w:style>
  <w:style w:type="paragraph" w:customStyle="1" w:styleId="B5">
    <w:name w:val="B5"/>
    <w:basedOn w:val="List5"/>
    <w:rsid w:val="00DC4CD2"/>
  </w:style>
  <w:style w:type="paragraph" w:styleId="Footer">
    <w:name w:val="footer"/>
    <w:basedOn w:val="Header"/>
    <w:semiHidden/>
    <w:rsid w:val="00DC4CD2"/>
    <w:pPr>
      <w:jc w:val="center"/>
    </w:pPr>
    <w:rPr>
      <w:i/>
    </w:rPr>
  </w:style>
  <w:style w:type="paragraph" w:customStyle="1" w:styleId="ZTD">
    <w:name w:val="ZTD"/>
    <w:basedOn w:val="ZB"/>
    <w:rsid w:val="00DC4C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C4CD2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DC4CD2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DC4CD2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C4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4CD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4CD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D2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4C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CD2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DC4C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D2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C4CD2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C4CD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C4CD2"/>
    <w:pPr>
      <w:ind w:left="720"/>
      <w:contextualSpacing/>
    </w:pPr>
  </w:style>
  <w:style w:type="paragraph" w:customStyle="1" w:styleId="a">
    <w:name w:val="样式 页眉"/>
    <w:basedOn w:val="Header"/>
    <w:link w:val="Char"/>
    <w:rsid w:val="00DC4CD2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DC4CD2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DC4C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C4CD2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C4CD2"/>
    <w:rPr>
      <w:color w:val="808080"/>
    </w:rPr>
  </w:style>
  <w:style w:type="paragraph" w:styleId="Revision">
    <w:name w:val="Revision"/>
    <w:hidden/>
    <w:uiPriority w:val="99"/>
    <w:semiHidden/>
    <w:rsid w:val="004214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lehtine\Documents\RFSIM\RFSIM-TODO\Templates\R4-xxxxxxx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R4-xxxxxxx template.dotx</Template>
  <TotalTime>971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dc:description/>
  <cp:lastModifiedBy>Nokia</cp:lastModifiedBy>
  <cp:revision>149</cp:revision>
  <cp:lastPrinted>1900-01-01T00:00:00Z</cp:lastPrinted>
  <dcterms:created xsi:type="dcterms:W3CDTF">2023-08-10T23:37:00Z</dcterms:created>
  <dcterms:modified xsi:type="dcterms:W3CDTF">2023-08-11T17:46:00Z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2019-10-03T12:31:28.7743171Z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ActionId">
    <vt:lpwstr>d809f080-1321-4497-ba97-8442f929ec8f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